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D425" w14:textId="77777777" w:rsidR="00D92435" w:rsidRDefault="00D92435">
      <w:pPr>
        <w:pStyle w:val="BodyText"/>
        <w:rPr>
          <w:rFonts w:ascii="Times New Roman"/>
          <w:sz w:val="20"/>
        </w:rPr>
      </w:pPr>
    </w:p>
    <w:p w14:paraId="17B14086" w14:textId="77777777" w:rsidR="00D92435" w:rsidRDefault="00D92435">
      <w:pPr>
        <w:pStyle w:val="BodyText"/>
        <w:spacing w:before="3"/>
        <w:rPr>
          <w:rFonts w:ascii="Times New Roman"/>
          <w:sz w:val="19"/>
        </w:rPr>
      </w:pPr>
    </w:p>
    <w:p w14:paraId="0605072F" w14:textId="36DE29AD" w:rsidR="00D92435" w:rsidRDefault="00F60E23">
      <w:pPr>
        <w:pStyle w:val="Title"/>
      </w:pPr>
      <w:bookmarkStart w:id="0" w:name="UBC_REAP_3.1_Interpretations"/>
      <w:bookmarkEnd w:id="0"/>
      <w:r>
        <w:rPr>
          <w:color w:val="1F4E79"/>
        </w:rPr>
        <w:t>UBC REAP 3.</w:t>
      </w:r>
      <w:r w:rsidR="000006ED">
        <w:rPr>
          <w:color w:val="1F4E79"/>
        </w:rPr>
        <w:t>2</w:t>
      </w:r>
      <w:r>
        <w:rPr>
          <w:color w:val="1F4E79"/>
        </w:rPr>
        <w:t xml:space="preserve"> INTERPRETATIONS</w:t>
      </w:r>
    </w:p>
    <w:p w14:paraId="09F159E3" w14:textId="77777777" w:rsidR="00D92435" w:rsidRDefault="00D92435">
      <w:pPr>
        <w:pStyle w:val="BodyText"/>
        <w:spacing w:before="10"/>
        <w:rPr>
          <w:b/>
          <w:sz w:val="51"/>
        </w:rPr>
      </w:pPr>
    </w:p>
    <w:p w14:paraId="0B121BB4" w14:textId="57731715" w:rsidR="00D92435" w:rsidRDefault="000006ED">
      <w:pPr>
        <w:spacing w:before="1"/>
        <w:ind w:left="167"/>
        <w:rPr>
          <w:b/>
          <w:sz w:val="32"/>
        </w:rPr>
      </w:pPr>
      <w:bookmarkStart w:id="1" w:name="July_13th,_2020"/>
      <w:bookmarkEnd w:id="1"/>
      <w:r>
        <w:rPr>
          <w:b/>
          <w:color w:val="1F4E79"/>
          <w:sz w:val="32"/>
        </w:rPr>
        <w:t>June</w:t>
      </w:r>
      <w:r w:rsidR="00F60E23">
        <w:rPr>
          <w:b/>
          <w:color w:val="1F4E79"/>
          <w:sz w:val="32"/>
        </w:rPr>
        <w:t xml:space="preserve"> </w:t>
      </w:r>
      <w:r w:rsidR="000058ED">
        <w:rPr>
          <w:b/>
          <w:color w:val="1F4E79"/>
          <w:sz w:val="32"/>
        </w:rPr>
        <w:t>23rd</w:t>
      </w:r>
      <w:r w:rsidR="00F60E23">
        <w:rPr>
          <w:b/>
          <w:color w:val="1F4E79"/>
          <w:sz w:val="32"/>
        </w:rPr>
        <w:t>, 202</w:t>
      </w:r>
      <w:r>
        <w:rPr>
          <w:b/>
          <w:color w:val="1F4E79"/>
          <w:sz w:val="32"/>
        </w:rPr>
        <w:t>2</w:t>
      </w:r>
    </w:p>
    <w:p w14:paraId="50BD91BF" w14:textId="77777777" w:rsidR="00D92435" w:rsidRDefault="00D92435">
      <w:pPr>
        <w:pStyle w:val="BodyText"/>
        <w:spacing w:before="2"/>
        <w:rPr>
          <w:b/>
          <w:sz w:val="52"/>
        </w:rPr>
      </w:pPr>
    </w:p>
    <w:p w14:paraId="138D1F8F" w14:textId="77777777" w:rsidR="00D92435" w:rsidRDefault="00F60E23">
      <w:pPr>
        <w:pStyle w:val="Heading1"/>
      </w:pPr>
      <w:bookmarkStart w:id="2" w:name="Process_Overview"/>
      <w:bookmarkEnd w:id="2"/>
      <w:r>
        <w:rPr>
          <w:color w:val="1F4E79"/>
        </w:rPr>
        <w:t>PROCESS OVERVIEW</w:t>
      </w:r>
    </w:p>
    <w:p w14:paraId="28007C41" w14:textId="77777777" w:rsidR="00D92435" w:rsidRDefault="00F60E23">
      <w:pPr>
        <w:pStyle w:val="ListParagraph"/>
        <w:numPr>
          <w:ilvl w:val="0"/>
          <w:numId w:val="1"/>
        </w:numPr>
        <w:tabs>
          <w:tab w:val="left" w:pos="460"/>
        </w:tabs>
        <w:spacing w:before="245"/>
        <w:ind w:left="460"/>
        <w:rPr>
          <w:sz w:val="18"/>
        </w:rPr>
      </w:pPr>
      <w:r>
        <w:rPr>
          <w:color w:val="404040"/>
          <w:sz w:val="18"/>
        </w:rPr>
        <w:t>Project teams can submit interpretation questions by</w:t>
      </w:r>
      <w:r>
        <w:rPr>
          <w:color w:val="404040"/>
          <w:spacing w:val="-6"/>
          <w:sz w:val="18"/>
        </w:rPr>
        <w:t xml:space="preserve"> </w:t>
      </w:r>
      <w:r>
        <w:rPr>
          <w:color w:val="404040"/>
          <w:sz w:val="18"/>
        </w:rPr>
        <w:t>email</w:t>
      </w:r>
    </w:p>
    <w:p w14:paraId="35AB9225" w14:textId="01468B69" w:rsidR="00D92435" w:rsidRDefault="00F60E23">
      <w:pPr>
        <w:pStyle w:val="ListParagraph"/>
        <w:numPr>
          <w:ilvl w:val="0"/>
          <w:numId w:val="1"/>
        </w:numPr>
        <w:tabs>
          <w:tab w:val="left" w:pos="460"/>
        </w:tabs>
        <w:spacing w:before="101" w:line="280" w:lineRule="auto"/>
        <w:ind w:right="873" w:hanging="288"/>
        <w:rPr>
          <w:sz w:val="18"/>
        </w:rPr>
      </w:pPr>
      <w:r>
        <w:rPr>
          <w:color w:val="404040"/>
          <w:sz w:val="18"/>
        </w:rPr>
        <w:t>Interpretations that effect all projects will be published</w:t>
      </w:r>
      <w:hyperlink r:id="rId8" w:history="1">
        <w:r w:rsidRPr="000058ED">
          <w:rPr>
            <w:rStyle w:val="Hyperlink"/>
            <w:sz w:val="18"/>
          </w:rPr>
          <w:t xml:space="preserve"> </w:t>
        </w:r>
        <w:r w:rsidR="000058ED" w:rsidRPr="000058ED">
          <w:rPr>
            <w:rStyle w:val="Hyperlink"/>
            <w:sz w:val="18"/>
          </w:rPr>
          <w:t>here.</w:t>
        </w:r>
      </w:hyperlink>
      <w:r>
        <w:rPr>
          <w:color w:val="404040"/>
          <w:sz w:val="18"/>
        </w:rPr>
        <w:t xml:space="preserve"> </w:t>
      </w:r>
    </w:p>
    <w:p w14:paraId="121268B1" w14:textId="77777777" w:rsidR="00D92435" w:rsidRDefault="00F60E23">
      <w:pPr>
        <w:pStyle w:val="ListParagraph"/>
        <w:numPr>
          <w:ilvl w:val="0"/>
          <w:numId w:val="1"/>
        </w:numPr>
        <w:tabs>
          <w:tab w:val="left" w:pos="460"/>
        </w:tabs>
        <w:spacing w:before="69"/>
        <w:ind w:left="460"/>
        <w:rPr>
          <w:sz w:val="18"/>
        </w:rPr>
      </w:pPr>
      <w:r>
        <w:rPr>
          <w:color w:val="404040"/>
          <w:sz w:val="18"/>
        </w:rPr>
        <w:t>Interpretations will provide guidance for credit submissions in order to meet the credit intent and policy</w:t>
      </w:r>
      <w:r>
        <w:rPr>
          <w:color w:val="404040"/>
          <w:spacing w:val="-34"/>
          <w:sz w:val="18"/>
        </w:rPr>
        <w:t xml:space="preserve"> </w:t>
      </w:r>
      <w:r>
        <w:rPr>
          <w:color w:val="404040"/>
          <w:sz w:val="18"/>
        </w:rPr>
        <w:t>goals.</w:t>
      </w:r>
    </w:p>
    <w:p w14:paraId="6746FA35" w14:textId="77777777" w:rsidR="00D92435" w:rsidRDefault="00F60E23">
      <w:pPr>
        <w:pStyle w:val="ListParagraph"/>
        <w:numPr>
          <w:ilvl w:val="0"/>
          <w:numId w:val="1"/>
        </w:numPr>
        <w:tabs>
          <w:tab w:val="left" w:pos="460"/>
        </w:tabs>
        <w:spacing w:before="98"/>
        <w:ind w:left="460" w:hanging="217"/>
        <w:rPr>
          <w:sz w:val="18"/>
        </w:rPr>
      </w:pPr>
      <w:r>
        <w:rPr>
          <w:color w:val="404040"/>
          <w:sz w:val="18"/>
        </w:rPr>
        <w:t>Interpretations will not contain any significant changes to REAP or to add any new</w:t>
      </w:r>
      <w:r>
        <w:rPr>
          <w:color w:val="404040"/>
          <w:spacing w:val="-17"/>
          <w:sz w:val="18"/>
        </w:rPr>
        <w:t xml:space="preserve"> </w:t>
      </w:r>
      <w:r>
        <w:rPr>
          <w:color w:val="404040"/>
          <w:sz w:val="18"/>
        </w:rPr>
        <w:t>requirements</w:t>
      </w:r>
    </w:p>
    <w:p w14:paraId="28F9AE07" w14:textId="77777777" w:rsidR="00D92435" w:rsidRDefault="00F60E23">
      <w:pPr>
        <w:pStyle w:val="ListParagraph"/>
        <w:numPr>
          <w:ilvl w:val="0"/>
          <w:numId w:val="1"/>
        </w:numPr>
        <w:tabs>
          <w:tab w:val="left" w:pos="460"/>
        </w:tabs>
        <w:spacing w:before="102"/>
        <w:ind w:left="460" w:hanging="217"/>
        <w:rPr>
          <w:sz w:val="18"/>
        </w:rPr>
      </w:pPr>
      <w:r>
        <w:rPr>
          <w:color w:val="404040"/>
          <w:sz w:val="18"/>
        </w:rPr>
        <w:t>Each interpretation will undergo departmental review prior to being</w:t>
      </w:r>
      <w:r>
        <w:rPr>
          <w:color w:val="404040"/>
          <w:spacing w:val="-12"/>
          <w:sz w:val="18"/>
        </w:rPr>
        <w:t xml:space="preserve"> </w:t>
      </w:r>
      <w:r>
        <w:rPr>
          <w:color w:val="404040"/>
          <w:sz w:val="18"/>
        </w:rPr>
        <w:t>issued</w:t>
      </w:r>
    </w:p>
    <w:p w14:paraId="0D96162B" w14:textId="77777777" w:rsidR="00D92435" w:rsidRDefault="00D92435">
      <w:pPr>
        <w:pStyle w:val="BodyText"/>
        <w:rPr>
          <w:sz w:val="22"/>
        </w:rPr>
      </w:pPr>
    </w:p>
    <w:p w14:paraId="51DD1802" w14:textId="77777777" w:rsidR="00D92435" w:rsidRDefault="00D92435">
      <w:pPr>
        <w:pStyle w:val="BodyText"/>
        <w:rPr>
          <w:sz w:val="22"/>
        </w:rPr>
      </w:pPr>
    </w:p>
    <w:p w14:paraId="29EEDAE5" w14:textId="77777777" w:rsidR="00D92435" w:rsidRDefault="00F60E23">
      <w:pPr>
        <w:pStyle w:val="Heading1"/>
        <w:spacing w:before="127"/>
      </w:pPr>
      <w:bookmarkStart w:id="3" w:name="REAP_Interpretations"/>
      <w:bookmarkEnd w:id="3"/>
      <w:r>
        <w:rPr>
          <w:color w:val="1F4E79"/>
        </w:rPr>
        <w:t>REAP INTERPRETATIONS</w:t>
      </w:r>
    </w:p>
    <w:p w14:paraId="4B5058AF" w14:textId="77777777" w:rsidR="00D92435" w:rsidRDefault="00D92435">
      <w:pPr>
        <w:pStyle w:val="BodyText"/>
        <w:spacing w:before="5"/>
        <w:rPr>
          <w:b/>
          <w:sz w:val="31"/>
        </w:rPr>
      </w:pPr>
    </w:p>
    <w:p w14:paraId="64671514" w14:textId="77777777" w:rsidR="00D92435" w:rsidRDefault="00F60E23">
      <w:pPr>
        <w:pStyle w:val="Heading2"/>
      </w:pPr>
      <w:bookmarkStart w:id="4" w:name="Interpretation_#1"/>
      <w:bookmarkStart w:id="5" w:name="_Hlk106882584"/>
      <w:bookmarkEnd w:id="4"/>
      <w:r>
        <w:rPr>
          <w:color w:val="5B9BD4"/>
        </w:rPr>
        <w:t>Interpretation #1</w:t>
      </w:r>
    </w:p>
    <w:bookmarkEnd w:id="5"/>
    <w:p w14:paraId="61A0827F" w14:textId="5DEDC029" w:rsidR="00D92435" w:rsidRDefault="00FD72B8">
      <w:pPr>
        <w:pStyle w:val="Heading3"/>
      </w:pPr>
      <w:r>
        <w:rPr>
          <w:color w:val="404040"/>
        </w:rPr>
        <w:t>BIO</w:t>
      </w:r>
      <w:r w:rsidR="00F60E23">
        <w:rPr>
          <w:color w:val="404040"/>
        </w:rPr>
        <w:t xml:space="preserve"> </w:t>
      </w:r>
      <w:r w:rsidR="004248FA">
        <w:rPr>
          <w:color w:val="404040"/>
        </w:rPr>
        <w:t>3.1</w:t>
      </w:r>
      <w:r w:rsidR="00F60E23">
        <w:rPr>
          <w:color w:val="404040"/>
        </w:rPr>
        <w:t xml:space="preserve"> </w:t>
      </w:r>
      <w:bookmarkStart w:id="6" w:name="_Hlk106882644"/>
      <w:r>
        <w:rPr>
          <w:color w:val="404040"/>
        </w:rPr>
        <w:t xml:space="preserve">Bird friendly design - </w:t>
      </w:r>
      <w:r w:rsidR="009022B0">
        <w:rPr>
          <w:color w:val="404040"/>
        </w:rPr>
        <w:t>Enhanced</w:t>
      </w:r>
      <w:bookmarkEnd w:id="6"/>
    </w:p>
    <w:p w14:paraId="65BB20FE" w14:textId="77777777" w:rsidR="00D92435" w:rsidRDefault="00D92435">
      <w:pPr>
        <w:pStyle w:val="BodyText"/>
        <w:spacing w:before="7"/>
        <w:rPr>
          <w:i/>
          <w:sz w:val="19"/>
        </w:rPr>
      </w:pPr>
    </w:p>
    <w:p w14:paraId="7758CCD6" w14:textId="367C85E9" w:rsidR="00D92435" w:rsidRDefault="00F60E23" w:rsidP="00F148D8">
      <w:pPr>
        <w:pStyle w:val="Heading4"/>
        <w:tabs>
          <w:tab w:val="left" w:pos="819"/>
          <w:tab w:val="left" w:pos="820"/>
        </w:tabs>
        <w:spacing w:line="205" w:lineRule="exact"/>
        <w:ind w:firstLine="0"/>
      </w:pPr>
      <w:r>
        <w:rPr>
          <w:color w:val="404040"/>
        </w:rPr>
        <w:t xml:space="preserve">Method used to </w:t>
      </w:r>
      <w:r w:rsidR="004248FA">
        <w:rPr>
          <w:color w:val="404040"/>
        </w:rPr>
        <w:t>calculate percentage of glazing treatment :</w:t>
      </w:r>
    </w:p>
    <w:p w14:paraId="59F685D6" w14:textId="26F6E86E" w:rsidR="00E84C78" w:rsidRDefault="00E84C78" w:rsidP="007045E9">
      <w:pPr>
        <w:pStyle w:val="BodyText"/>
        <w:spacing w:before="47" w:line="288" w:lineRule="auto"/>
        <w:ind w:right="205"/>
        <w:rPr>
          <w:color w:val="404040"/>
        </w:rPr>
      </w:pPr>
    </w:p>
    <w:p w14:paraId="310BB297" w14:textId="7103C061" w:rsidR="00FD72B8" w:rsidRDefault="00FD72B8" w:rsidP="00FD72B8">
      <w:pPr>
        <w:pStyle w:val="BodyText"/>
        <w:spacing w:before="47" w:line="288" w:lineRule="auto"/>
        <w:ind w:left="820" w:right="205" w:hanging="1"/>
      </w:pPr>
      <w:r w:rsidRPr="00F148D8">
        <w:t>Glazing</w:t>
      </w:r>
      <w:r w:rsidR="000058ED" w:rsidRPr="00F148D8">
        <w:t xml:space="preserve"> directly</w:t>
      </w:r>
      <w:r w:rsidRPr="00F148D8">
        <w:t xml:space="preserve"> behind </w:t>
      </w:r>
      <w:r w:rsidR="000058ED">
        <w:t>balcony</w:t>
      </w:r>
      <w:r w:rsidRPr="00F148D8">
        <w:t xml:space="preserve">  guardrail</w:t>
      </w:r>
      <w:r w:rsidR="000058ED">
        <w:t>s</w:t>
      </w:r>
      <w:r w:rsidR="00161D99">
        <w:t xml:space="preserve"> that are treated</w:t>
      </w:r>
      <w:r w:rsidRPr="00F148D8">
        <w:t xml:space="preserve"> </w:t>
      </w:r>
      <w:r w:rsidR="00161D99">
        <w:t xml:space="preserve">(for example fritted) </w:t>
      </w:r>
      <w:r w:rsidRPr="00F148D8">
        <w:t xml:space="preserve">can be counted as having an applied bird friendly </w:t>
      </w:r>
      <w:r w:rsidR="007045E9" w:rsidRPr="00F148D8">
        <w:t xml:space="preserve">strategy. </w:t>
      </w:r>
    </w:p>
    <w:p w14:paraId="2A376804" w14:textId="77777777" w:rsidR="004248FA" w:rsidRDefault="004248FA" w:rsidP="004248FA">
      <w:pPr>
        <w:pStyle w:val="Heading2"/>
        <w:rPr>
          <w:color w:val="5B9BD4"/>
        </w:rPr>
      </w:pPr>
    </w:p>
    <w:p w14:paraId="7F7A3BB1" w14:textId="324207F1" w:rsidR="004248FA" w:rsidRDefault="004248FA" w:rsidP="004248FA">
      <w:pPr>
        <w:pStyle w:val="Heading2"/>
      </w:pPr>
      <w:r>
        <w:rPr>
          <w:color w:val="5B9BD4"/>
        </w:rPr>
        <w:t>Interpretation #2</w:t>
      </w:r>
    </w:p>
    <w:p w14:paraId="0137C522" w14:textId="77777777" w:rsidR="00FD72B8" w:rsidRDefault="00FD72B8">
      <w:pPr>
        <w:pStyle w:val="BodyText"/>
        <w:spacing w:before="47" w:line="288" w:lineRule="auto"/>
        <w:ind w:left="820" w:right="205" w:hanging="1"/>
      </w:pPr>
    </w:p>
    <w:p w14:paraId="1EB01999" w14:textId="4BA4C01B" w:rsidR="00D92435" w:rsidRPr="00F148D8" w:rsidRDefault="009022B0" w:rsidP="00F148D8">
      <w:pPr>
        <w:pStyle w:val="Heading3"/>
        <w:rPr>
          <w:color w:val="404040"/>
        </w:rPr>
      </w:pPr>
      <w:r>
        <w:rPr>
          <w:color w:val="404040"/>
        </w:rPr>
        <w:t xml:space="preserve">BIO </w:t>
      </w:r>
      <w:r w:rsidR="004248FA">
        <w:rPr>
          <w:color w:val="404040"/>
        </w:rPr>
        <w:t xml:space="preserve">P3 Bird Friendly Design- Basic and BIO </w:t>
      </w:r>
      <w:r>
        <w:rPr>
          <w:color w:val="404040"/>
        </w:rPr>
        <w:t>3.1</w:t>
      </w:r>
      <w:r w:rsidR="004248FA">
        <w:rPr>
          <w:color w:val="404040"/>
        </w:rPr>
        <w:t xml:space="preserve"> Bird friendly design - Enhanced</w:t>
      </w:r>
      <w:r w:rsidR="00F60E23">
        <w:rPr>
          <w:color w:val="404040"/>
        </w:rPr>
        <w:t>:</w:t>
      </w:r>
    </w:p>
    <w:p w14:paraId="64EB2930" w14:textId="77777777" w:rsidR="000058ED" w:rsidRDefault="000058ED" w:rsidP="000058ED">
      <w:pPr>
        <w:pStyle w:val="ListParagraph"/>
        <w:widowControl/>
        <w:adjustRightInd w:val="0"/>
        <w:ind w:left="532" w:firstLine="0"/>
        <w:rPr>
          <w:color w:val="404040"/>
          <w:sz w:val="18"/>
          <w:szCs w:val="18"/>
        </w:rPr>
      </w:pPr>
    </w:p>
    <w:p w14:paraId="05DC37BC" w14:textId="12370C9A" w:rsidR="009022B0" w:rsidRPr="00F148D8" w:rsidRDefault="000058ED" w:rsidP="00F148D8">
      <w:pPr>
        <w:pStyle w:val="ListParagraph"/>
        <w:widowControl/>
        <w:adjustRightInd w:val="0"/>
        <w:ind w:left="532" w:firstLine="0"/>
        <w:rPr>
          <w:rFonts w:eastAsiaTheme="minorHAnsi"/>
          <w:b/>
          <w:color w:val="000000"/>
          <w:sz w:val="24"/>
          <w:szCs w:val="24"/>
        </w:rPr>
      </w:pPr>
      <w:r w:rsidRPr="00F148D8">
        <w:rPr>
          <w:b/>
          <w:color w:val="404040"/>
          <w:sz w:val="18"/>
          <w:szCs w:val="18"/>
        </w:rPr>
        <w:t>Clarification</w:t>
      </w:r>
      <w:r w:rsidRPr="00F148D8">
        <w:rPr>
          <w:rFonts w:eastAsiaTheme="minorHAnsi"/>
          <w:b/>
          <w:color w:val="000000"/>
          <w:sz w:val="24"/>
          <w:szCs w:val="24"/>
        </w:rPr>
        <w:t>:</w:t>
      </w:r>
    </w:p>
    <w:p w14:paraId="6C52DDB2" w14:textId="3AEE259F" w:rsidR="009022B0" w:rsidRPr="009022B0" w:rsidRDefault="009022B0" w:rsidP="009022B0">
      <w:pPr>
        <w:pStyle w:val="BodyText"/>
        <w:spacing w:before="47" w:line="288" w:lineRule="auto"/>
        <w:ind w:left="820" w:right="205" w:hanging="1"/>
        <w:rPr>
          <w:color w:val="404040"/>
        </w:rPr>
      </w:pPr>
      <w:r w:rsidRPr="009022B0">
        <w:rPr>
          <w:color w:val="404040"/>
        </w:rPr>
        <w:t>The UBC Bird Friendly Building Design Guidelines provide</w:t>
      </w:r>
      <w:r w:rsidR="00161D99">
        <w:rPr>
          <w:color w:val="404040"/>
        </w:rPr>
        <w:t>s guidance on</w:t>
      </w:r>
      <w:r w:rsidRPr="009022B0">
        <w:rPr>
          <w:color w:val="404040"/>
        </w:rPr>
        <w:t xml:space="preserve"> co-beneficial bird friendly building design strategies</w:t>
      </w:r>
      <w:r w:rsidR="000058ED">
        <w:rPr>
          <w:color w:val="404040"/>
        </w:rPr>
        <w:t xml:space="preserve"> and recommendations</w:t>
      </w:r>
      <w:r w:rsidRPr="009022B0">
        <w:rPr>
          <w:color w:val="404040"/>
        </w:rPr>
        <w:t xml:space="preserve">. </w:t>
      </w:r>
    </w:p>
    <w:p w14:paraId="420FE18D" w14:textId="182945E0" w:rsidR="009022B0" w:rsidRPr="009022B0" w:rsidRDefault="009022B0" w:rsidP="009022B0">
      <w:pPr>
        <w:pStyle w:val="BodyText"/>
        <w:spacing w:before="47" w:line="288" w:lineRule="auto"/>
        <w:ind w:left="820" w:right="205" w:hanging="1"/>
        <w:rPr>
          <w:color w:val="404040"/>
        </w:rPr>
      </w:pPr>
      <w:r w:rsidRPr="009022B0">
        <w:rPr>
          <w:color w:val="404040"/>
        </w:rPr>
        <w:t xml:space="preserve">The CSA A460:19 Bird-Friendly Building Design Standard: provides design requirements for glazing, building-integrated structures, and the overall site design. </w:t>
      </w:r>
    </w:p>
    <w:p w14:paraId="1F5230F7" w14:textId="77777777" w:rsidR="00D92435" w:rsidRDefault="00D92435">
      <w:pPr>
        <w:spacing w:line="288" w:lineRule="auto"/>
        <w:sectPr w:rsidR="00D92435">
          <w:footerReference w:type="default" r:id="rId9"/>
          <w:type w:val="continuous"/>
          <w:pgSz w:w="12240" w:h="15840"/>
          <w:pgMar w:top="1500" w:right="1300" w:bottom="1220" w:left="1340" w:header="720" w:footer="1034" w:gutter="0"/>
          <w:pgNumType w:start="1"/>
          <w:cols w:space="720"/>
        </w:sectPr>
      </w:pPr>
    </w:p>
    <w:p w14:paraId="2F2D487A" w14:textId="51787885" w:rsidR="00D92435" w:rsidRDefault="00F60E23">
      <w:pPr>
        <w:pStyle w:val="Heading2"/>
        <w:spacing w:before="78"/>
      </w:pPr>
      <w:bookmarkStart w:id="7" w:name="Interpretation_#2"/>
      <w:bookmarkEnd w:id="7"/>
      <w:r>
        <w:rPr>
          <w:color w:val="5B9BD4"/>
        </w:rPr>
        <w:lastRenderedPageBreak/>
        <w:t>Interpretation #</w:t>
      </w:r>
      <w:r w:rsidR="004248FA">
        <w:rPr>
          <w:color w:val="5B9BD4"/>
        </w:rPr>
        <w:t>3</w:t>
      </w:r>
    </w:p>
    <w:p w14:paraId="77423481" w14:textId="7775CDBE" w:rsidR="00D92435" w:rsidRDefault="00210C2F" w:rsidP="007045E9">
      <w:pPr>
        <w:pStyle w:val="Heading3"/>
        <w:ind w:left="0"/>
      </w:pPr>
      <w:r>
        <w:rPr>
          <w:color w:val="404040"/>
        </w:rPr>
        <w:t>P2</w:t>
      </w:r>
      <w:bookmarkStart w:id="8" w:name="_GoBack"/>
      <w:bookmarkEnd w:id="8"/>
      <w:r w:rsidR="00421D05">
        <w:rPr>
          <w:color w:val="404040"/>
        </w:rPr>
        <w:t xml:space="preserve">: </w:t>
      </w:r>
      <w:r>
        <w:rPr>
          <w:color w:val="404040"/>
        </w:rPr>
        <w:t>Outdoor</w:t>
      </w:r>
      <w:r w:rsidR="00421D05">
        <w:rPr>
          <w:color w:val="404040"/>
        </w:rPr>
        <w:t xml:space="preserve"> Water use reduction</w:t>
      </w:r>
    </w:p>
    <w:p w14:paraId="41E51DF1" w14:textId="77777777" w:rsidR="00D92435" w:rsidRDefault="00D92435">
      <w:pPr>
        <w:pStyle w:val="BodyText"/>
        <w:spacing w:before="10"/>
        <w:rPr>
          <w:i/>
          <w:sz w:val="19"/>
        </w:rPr>
      </w:pPr>
    </w:p>
    <w:p w14:paraId="0DBA81BE" w14:textId="4C969AD9" w:rsidR="00D92435" w:rsidRPr="00F148D8" w:rsidRDefault="00F60E23">
      <w:pPr>
        <w:spacing w:line="288" w:lineRule="auto"/>
        <w:ind w:left="100" w:right="441"/>
        <w:rPr>
          <w:b/>
          <w:color w:val="404040"/>
          <w:sz w:val="18"/>
          <w:szCs w:val="18"/>
        </w:rPr>
      </w:pPr>
      <w:r w:rsidRPr="00F148D8">
        <w:rPr>
          <w:b/>
          <w:color w:val="404040"/>
          <w:sz w:val="18"/>
          <w:szCs w:val="18"/>
        </w:rPr>
        <w:t xml:space="preserve">This Interpretation updates the documentation requirements </w:t>
      </w:r>
      <w:r w:rsidR="00BC4F1E" w:rsidRPr="00F148D8">
        <w:rPr>
          <w:b/>
          <w:color w:val="404040"/>
          <w:sz w:val="18"/>
          <w:szCs w:val="18"/>
        </w:rPr>
        <w:t>.</w:t>
      </w:r>
    </w:p>
    <w:p w14:paraId="4876F5E6" w14:textId="77777777" w:rsidR="00D92435" w:rsidRDefault="00D92435">
      <w:pPr>
        <w:pStyle w:val="BodyText"/>
        <w:spacing w:before="10"/>
      </w:pPr>
    </w:p>
    <w:p w14:paraId="16C454CB" w14:textId="3378D236" w:rsidR="00D92435" w:rsidRDefault="00F60E23">
      <w:pPr>
        <w:ind w:left="459"/>
        <w:rPr>
          <w:b/>
          <w:i/>
          <w:sz w:val="18"/>
        </w:rPr>
      </w:pPr>
      <w:r>
        <w:rPr>
          <w:b/>
          <w:color w:val="404040"/>
          <w:sz w:val="18"/>
        </w:rPr>
        <w:t xml:space="preserve">Documentation: </w:t>
      </w:r>
      <w:r>
        <w:rPr>
          <w:b/>
          <w:i/>
          <w:color w:val="404040"/>
          <w:sz w:val="18"/>
        </w:rPr>
        <w:t xml:space="preserve">Submit at the </w:t>
      </w:r>
      <w:r w:rsidR="00210C2F">
        <w:rPr>
          <w:b/>
          <w:i/>
          <w:color w:val="404040"/>
          <w:sz w:val="18"/>
        </w:rPr>
        <w:t>Building</w:t>
      </w:r>
      <w:r>
        <w:rPr>
          <w:b/>
          <w:i/>
          <w:color w:val="404040"/>
          <w:sz w:val="18"/>
        </w:rPr>
        <w:t xml:space="preserve"> Permit Stage</w:t>
      </w:r>
    </w:p>
    <w:p w14:paraId="1B59AC23" w14:textId="77777777" w:rsidR="00421D05" w:rsidRPr="00421D05" w:rsidRDefault="00421D05" w:rsidP="00421D05">
      <w:pPr>
        <w:widowControl/>
        <w:adjustRightInd w:val="0"/>
        <w:rPr>
          <w:rFonts w:eastAsiaTheme="minorHAnsi"/>
          <w:sz w:val="24"/>
          <w:szCs w:val="24"/>
        </w:rPr>
      </w:pPr>
    </w:p>
    <w:p w14:paraId="5A2D81E5" w14:textId="42454BB2" w:rsidR="00421D05" w:rsidRPr="00421D05" w:rsidRDefault="00210C2F" w:rsidP="00421D05">
      <w:pPr>
        <w:pStyle w:val="ListParagraph"/>
        <w:numPr>
          <w:ilvl w:val="2"/>
          <w:numId w:val="1"/>
        </w:numPr>
        <w:tabs>
          <w:tab w:val="left" w:pos="1179"/>
          <w:tab w:val="left" w:pos="1180"/>
        </w:tabs>
        <w:spacing w:before="2" w:line="207" w:lineRule="exact"/>
        <w:ind w:hanging="361"/>
        <w:rPr>
          <w:color w:val="404040"/>
          <w:sz w:val="18"/>
        </w:rPr>
      </w:pPr>
      <w:r>
        <w:rPr>
          <w:color w:val="404040"/>
          <w:sz w:val="18"/>
        </w:rPr>
        <w:t xml:space="preserve">Use </w:t>
      </w:r>
      <w:r w:rsidR="00421D05" w:rsidRPr="00421D05">
        <w:rPr>
          <w:color w:val="404040"/>
          <w:sz w:val="18"/>
        </w:rPr>
        <w:t xml:space="preserve"> </w:t>
      </w:r>
      <w:hyperlink r:id="rId10" w:history="1">
        <w:r w:rsidR="00FC4DF3">
          <w:rPr>
            <w:rStyle w:val="Hyperlink"/>
            <w:sz w:val="18"/>
          </w:rPr>
          <w:t xml:space="preserve">Water sense Budget tool </w:t>
        </w:r>
      </w:hyperlink>
      <w:r w:rsidR="00FC4DF3">
        <w:rPr>
          <w:color w:val="404040"/>
          <w:sz w:val="18"/>
        </w:rPr>
        <w:t>”</w:t>
      </w:r>
      <w:r w:rsidR="00421D05">
        <w:rPr>
          <w:color w:val="404040"/>
          <w:sz w:val="18"/>
        </w:rPr>
        <w:t xml:space="preserve"> </w:t>
      </w:r>
      <w:r w:rsidR="00BC4F1E">
        <w:rPr>
          <w:color w:val="404040"/>
          <w:sz w:val="18"/>
        </w:rPr>
        <w:t>spreadsheet</w:t>
      </w:r>
      <w:r>
        <w:rPr>
          <w:color w:val="404040"/>
          <w:sz w:val="18"/>
        </w:rPr>
        <w:t xml:space="preserve"> for required calculation</w:t>
      </w:r>
    </w:p>
    <w:p w14:paraId="07D49B18" w14:textId="314E0669" w:rsidR="00E842DE" w:rsidRDefault="00E842DE" w:rsidP="00E842DE">
      <w:pPr>
        <w:tabs>
          <w:tab w:val="left" w:pos="1180"/>
          <w:tab w:val="left" w:pos="1181"/>
        </w:tabs>
        <w:ind w:right="112"/>
        <w:rPr>
          <w:sz w:val="18"/>
        </w:rPr>
      </w:pPr>
    </w:p>
    <w:p w14:paraId="1958BCCB" w14:textId="7C4F78A1" w:rsidR="00E842DE" w:rsidRDefault="00E842DE" w:rsidP="00E842DE">
      <w:pPr>
        <w:tabs>
          <w:tab w:val="left" w:pos="1180"/>
          <w:tab w:val="left" w:pos="1181"/>
        </w:tabs>
        <w:ind w:right="112"/>
        <w:rPr>
          <w:sz w:val="18"/>
        </w:rPr>
      </w:pPr>
    </w:p>
    <w:p w14:paraId="4A1BDC22" w14:textId="0EFAEA21" w:rsidR="00E842DE" w:rsidRDefault="00E842DE" w:rsidP="00E842DE">
      <w:pPr>
        <w:pStyle w:val="Heading2"/>
        <w:spacing w:before="78"/>
      </w:pPr>
      <w:r>
        <w:rPr>
          <w:color w:val="5B9BD4"/>
        </w:rPr>
        <w:t>Interpretation #</w:t>
      </w:r>
      <w:r w:rsidR="00F516E2">
        <w:rPr>
          <w:color w:val="5B9BD4"/>
        </w:rPr>
        <w:t>4</w:t>
      </w:r>
    </w:p>
    <w:p w14:paraId="29D8CFE2" w14:textId="24C3E92F" w:rsidR="00E842DE" w:rsidRDefault="00E842DE" w:rsidP="00E842DE">
      <w:pPr>
        <w:pStyle w:val="Heading3"/>
        <w:ind w:left="0"/>
      </w:pPr>
      <w:r>
        <w:rPr>
          <w:color w:val="404040"/>
        </w:rPr>
        <w:t xml:space="preserve">HW </w:t>
      </w:r>
      <w:r w:rsidR="00630788">
        <w:rPr>
          <w:color w:val="404040"/>
        </w:rPr>
        <w:t>P</w:t>
      </w:r>
      <w:proofErr w:type="gramStart"/>
      <w:r w:rsidR="00630788">
        <w:rPr>
          <w:color w:val="404040"/>
        </w:rPr>
        <w:t>2</w:t>
      </w:r>
      <w:r>
        <w:rPr>
          <w:color w:val="404040"/>
        </w:rPr>
        <w:t xml:space="preserve"> :</w:t>
      </w:r>
      <w:proofErr w:type="gramEnd"/>
      <w:r>
        <w:rPr>
          <w:color w:val="404040"/>
        </w:rPr>
        <w:t xml:space="preserve"> </w:t>
      </w:r>
      <w:r w:rsidR="00630788">
        <w:rPr>
          <w:color w:val="404040"/>
        </w:rPr>
        <w:t>Low- emitting Products</w:t>
      </w:r>
      <w:r w:rsidR="00F516E2">
        <w:rPr>
          <w:color w:val="404040"/>
        </w:rPr>
        <w:t xml:space="preserve"> and HW 3.1 Low-emitting Products</w:t>
      </w:r>
    </w:p>
    <w:p w14:paraId="7DABC82C" w14:textId="77777777" w:rsidR="00E842DE" w:rsidRDefault="00E842DE" w:rsidP="00E842DE">
      <w:pPr>
        <w:pStyle w:val="BodyText"/>
        <w:spacing w:before="10"/>
        <w:rPr>
          <w:i/>
          <w:sz w:val="19"/>
        </w:rPr>
      </w:pPr>
    </w:p>
    <w:p w14:paraId="0D7303FB" w14:textId="260396DA" w:rsidR="00E842DE" w:rsidRDefault="00F516E2" w:rsidP="00E842DE">
      <w:pPr>
        <w:pStyle w:val="BodyText"/>
        <w:spacing w:before="10"/>
      </w:pPr>
      <w:r>
        <w:rPr>
          <w:color w:val="404040"/>
          <w:sz w:val="20"/>
        </w:rPr>
        <w:t xml:space="preserve">The following </w:t>
      </w:r>
      <w:r w:rsidR="00161D99">
        <w:rPr>
          <w:color w:val="404040"/>
          <w:sz w:val="20"/>
        </w:rPr>
        <w:t xml:space="preserve">(repeated) </w:t>
      </w:r>
      <w:r>
        <w:rPr>
          <w:color w:val="404040"/>
          <w:sz w:val="20"/>
        </w:rPr>
        <w:t>requirement is both a precondition and earns 1 point in HW3.1:</w:t>
      </w:r>
    </w:p>
    <w:p w14:paraId="241ACDF0" w14:textId="4786BB1C" w:rsidR="00E842DE" w:rsidRPr="00630788" w:rsidRDefault="00E842DE" w:rsidP="00630788">
      <w:pPr>
        <w:tabs>
          <w:tab w:val="left" w:pos="1179"/>
          <w:tab w:val="left" w:pos="1180"/>
        </w:tabs>
        <w:spacing w:before="2" w:line="207" w:lineRule="exact"/>
        <w:ind w:left="818"/>
        <w:rPr>
          <w:color w:val="404040"/>
          <w:sz w:val="18"/>
        </w:rPr>
      </w:pPr>
    </w:p>
    <w:p w14:paraId="335B30DA" w14:textId="07071B08" w:rsidR="00E842DE" w:rsidRPr="00F148D8" w:rsidRDefault="00F516E2" w:rsidP="00F148D8">
      <w:pPr>
        <w:tabs>
          <w:tab w:val="left" w:pos="1180"/>
          <w:tab w:val="left" w:pos="1181"/>
        </w:tabs>
        <w:ind w:right="112"/>
        <w:rPr>
          <w:sz w:val="18"/>
        </w:rPr>
      </w:pPr>
      <w:r>
        <w:rPr>
          <w:sz w:val="18"/>
        </w:rPr>
        <w:t>“</w:t>
      </w:r>
      <w:r w:rsidRPr="00F516E2">
        <w:rPr>
          <w:sz w:val="18"/>
        </w:rPr>
        <w:t>Carpet and carpet cushion that are certified by the Carpet and Rug Institute Green Label Plus, or use products that have been tested and demonstrate compliance with the California Department of Public Health (CDPH) Standard Method v1.2–2017 and comply with the VOC limits in Table 4-1 of the method</w:t>
      </w:r>
      <w:r>
        <w:rPr>
          <w:sz w:val="18"/>
        </w:rPr>
        <w:t>.”</w:t>
      </w:r>
    </w:p>
    <w:p w14:paraId="0FD3C43C" w14:textId="77777777" w:rsidR="00E842DE" w:rsidRPr="00E842DE" w:rsidRDefault="00E842DE" w:rsidP="00E842DE">
      <w:pPr>
        <w:tabs>
          <w:tab w:val="left" w:pos="1180"/>
          <w:tab w:val="left" w:pos="1181"/>
        </w:tabs>
        <w:ind w:right="112"/>
        <w:rPr>
          <w:sz w:val="18"/>
        </w:rPr>
      </w:pPr>
    </w:p>
    <w:sectPr w:rsidR="00E842DE" w:rsidRPr="00E842DE">
      <w:pgSz w:w="12240" w:h="15840"/>
      <w:pgMar w:top="1360" w:right="1300" w:bottom="1220" w:left="134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1152" w14:textId="77777777" w:rsidR="00F60E23" w:rsidRDefault="00F60E23">
      <w:r>
        <w:separator/>
      </w:r>
    </w:p>
  </w:endnote>
  <w:endnote w:type="continuationSeparator" w:id="0">
    <w:p w14:paraId="7009BCAB" w14:textId="77777777" w:rsidR="00F60E23" w:rsidRDefault="00F6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6CF2" w14:textId="6EF2E4E5" w:rsidR="00D92435" w:rsidRDefault="00F516E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31642F" wp14:editId="1AF61E3E">
              <wp:simplePos x="0" y="0"/>
              <wp:positionH relativeFrom="page">
                <wp:posOffset>783590</wp:posOffset>
              </wp:positionH>
              <wp:positionV relativeFrom="page">
                <wp:posOffset>9262110</wp:posOffset>
              </wp:positionV>
              <wp:extent cx="16065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D4AD3" w14:textId="77777777" w:rsidR="00D92435" w:rsidRDefault="00F60E23">
                          <w:pPr>
                            <w:spacing w:before="19"/>
                            <w:ind w:left="60"/>
                            <w:rPr>
                              <w:rFonts w:ascii="Arial Black"/>
                              <w:sz w:val="20"/>
                            </w:rPr>
                          </w:pPr>
                          <w:r>
                            <w:fldChar w:fldCharType="begin"/>
                          </w:r>
                          <w:r>
                            <w:rPr>
                              <w:rFonts w:ascii="Arial Black"/>
                              <w:color w:val="1F4E79"/>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1642F" id="_x0000_t202" coordsize="21600,21600" o:spt="202" path="m,l,21600r21600,l21600,xe">
              <v:stroke joinstyle="miter"/>
              <v:path gradientshapeok="t" o:connecttype="rect"/>
            </v:shapetype>
            <v:shape id="Text Box 1" o:spid="_x0000_s1026" type="#_x0000_t202" style="position:absolute;margin-left:61.7pt;margin-top:729.3pt;width:12.6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" filled="f" stroked="f">
              <v:textbox inset="0,0,0,0">
                <w:txbxContent>
                  <w:p w14:paraId="11DD4AD3" w14:textId="77777777" w:rsidR="00D92435" w:rsidRDefault="00F60E23">
                    <w:pPr>
                      <w:spacing w:before="19"/>
                      <w:ind w:left="60"/>
                      <w:rPr>
                        <w:rFonts w:ascii="Arial Black"/>
                        <w:sz w:val="20"/>
                      </w:rPr>
                    </w:pPr>
                    <w:r>
                      <w:fldChar w:fldCharType="begin"/>
                    </w:r>
                    <w:r>
                      <w:rPr>
                        <w:rFonts w:ascii="Arial Black"/>
                        <w:color w:val="1F4E79"/>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7D53" w14:textId="77777777" w:rsidR="00F60E23" w:rsidRDefault="00F60E23">
      <w:r>
        <w:separator/>
      </w:r>
    </w:p>
  </w:footnote>
  <w:footnote w:type="continuationSeparator" w:id="0">
    <w:p w14:paraId="73D110C9" w14:textId="77777777" w:rsidR="00F60E23" w:rsidRDefault="00F6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C6D11"/>
    <w:multiLevelType w:val="hybridMultilevel"/>
    <w:tmpl w:val="D0C0EE02"/>
    <w:lvl w:ilvl="0" w:tplc="58C26ABE">
      <w:numFmt w:val="bullet"/>
      <w:lvlText w:val=""/>
      <w:lvlJc w:val="left"/>
      <w:pPr>
        <w:ind w:left="532" w:hanging="216"/>
      </w:pPr>
      <w:rPr>
        <w:rFonts w:ascii="Symbol" w:eastAsia="Symbol" w:hAnsi="Symbol" w:cs="Symbol" w:hint="default"/>
        <w:color w:val="5B9BD4"/>
        <w:w w:val="100"/>
        <w:sz w:val="18"/>
        <w:szCs w:val="18"/>
        <w:lang w:val="en-US" w:eastAsia="en-US" w:bidi="ar-SA"/>
      </w:rPr>
    </w:lvl>
    <w:lvl w:ilvl="1" w:tplc="945884E8">
      <w:start w:val="1"/>
      <w:numFmt w:val="decimal"/>
      <w:lvlText w:val="%2."/>
      <w:lvlJc w:val="left"/>
      <w:pPr>
        <w:ind w:left="820" w:hanging="360"/>
      </w:pPr>
      <w:rPr>
        <w:rFonts w:ascii="Arial" w:eastAsia="Arial" w:hAnsi="Arial" w:cs="Arial" w:hint="default"/>
        <w:b/>
        <w:bCs/>
        <w:color w:val="404040"/>
        <w:spacing w:val="-3"/>
        <w:w w:val="100"/>
        <w:sz w:val="18"/>
        <w:szCs w:val="18"/>
        <w:lang w:val="en-US" w:eastAsia="en-US" w:bidi="ar-SA"/>
      </w:rPr>
    </w:lvl>
    <w:lvl w:ilvl="2" w:tplc="3F3C3550">
      <w:numFmt w:val="bullet"/>
      <w:lvlText w:val=""/>
      <w:lvlJc w:val="left"/>
      <w:pPr>
        <w:ind w:left="1179" w:hanging="360"/>
      </w:pPr>
      <w:rPr>
        <w:rFonts w:ascii="Wingdings" w:eastAsia="Wingdings" w:hAnsi="Wingdings" w:cs="Wingdings" w:hint="default"/>
        <w:color w:val="404040"/>
        <w:w w:val="100"/>
        <w:sz w:val="18"/>
        <w:szCs w:val="18"/>
        <w:lang w:val="en-US" w:eastAsia="en-US" w:bidi="ar-SA"/>
      </w:rPr>
    </w:lvl>
    <w:lvl w:ilvl="3" w:tplc="BF326D94">
      <w:numFmt w:val="bullet"/>
      <w:lvlText w:val="•"/>
      <w:lvlJc w:val="left"/>
      <w:pPr>
        <w:ind w:left="2232" w:hanging="360"/>
      </w:pPr>
      <w:rPr>
        <w:rFonts w:hint="default"/>
        <w:lang w:val="en-US" w:eastAsia="en-US" w:bidi="ar-SA"/>
      </w:rPr>
    </w:lvl>
    <w:lvl w:ilvl="4" w:tplc="63727CBE">
      <w:numFmt w:val="bullet"/>
      <w:lvlText w:val="•"/>
      <w:lvlJc w:val="left"/>
      <w:pPr>
        <w:ind w:left="3285" w:hanging="360"/>
      </w:pPr>
      <w:rPr>
        <w:rFonts w:hint="default"/>
        <w:lang w:val="en-US" w:eastAsia="en-US" w:bidi="ar-SA"/>
      </w:rPr>
    </w:lvl>
    <w:lvl w:ilvl="5" w:tplc="FD0E9AE2">
      <w:numFmt w:val="bullet"/>
      <w:lvlText w:val="•"/>
      <w:lvlJc w:val="left"/>
      <w:pPr>
        <w:ind w:left="4337" w:hanging="360"/>
      </w:pPr>
      <w:rPr>
        <w:rFonts w:hint="default"/>
        <w:lang w:val="en-US" w:eastAsia="en-US" w:bidi="ar-SA"/>
      </w:rPr>
    </w:lvl>
    <w:lvl w:ilvl="6" w:tplc="6D3E438A">
      <w:numFmt w:val="bullet"/>
      <w:lvlText w:val="•"/>
      <w:lvlJc w:val="left"/>
      <w:pPr>
        <w:ind w:left="5390" w:hanging="360"/>
      </w:pPr>
      <w:rPr>
        <w:rFonts w:hint="default"/>
        <w:lang w:val="en-US" w:eastAsia="en-US" w:bidi="ar-SA"/>
      </w:rPr>
    </w:lvl>
    <w:lvl w:ilvl="7" w:tplc="76203BA4">
      <w:numFmt w:val="bullet"/>
      <w:lvlText w:val="•"/>
      <w:lvlJc w:val="left"/>
      <w:pPr>
        <w:ind w:left="6442" w:hanging="360"/>
      </w:pPr>
      <w:rPr>
        <w:rFonts w:hint="default"/>
        <w:lang w:val="en-US" w:eastAsia="en-US" w:bidi="ar-SA"/>
      </w:rPr>
    </w:lvl>
    <w:lvl w:ilvl="8" w:tplc="84D0B0F8">
      <w:numFmt w:val="bullet"/>
      <w:lvlText w:val="•"/>
      <w:lvlJc w:val="left"/>
      <w:pPr>
        <w:ind w:left="749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35"/>
    <w:rsid w:val="000006ED"/>
    <w:rsid w:val="000058ED"/>
    <w:rsid w:val="00060248"/>
    <w:rsid w:val="00161D99"/>
    <w:rsid w:val="0019092C"/>
    <w:rsid w:val="00210C2F"/>
    <w:rsid w:val="00421D05"/>
    <w:rsid w:val="004248FA"/>
    <w:rsid w:val="00630788"/>
    <w:rsid w:val="007045E9"/>
    <w:rsid w:val="009022B0"/>
    <w:rsid w:val="00944F50"/>
    <w:rsid w:val="009652E9"/>
    <w:rsid w:val="00BC4F1E"/>
    <w:rsid w:val="00D92435"/>
    <w:rsid w:val="00D9799C"/>
    <w:rsid w:val="00E842DE"/>
    <w:rsid w:val="00E84C78"/>
    <w:rsid w:val="00F148D8"/>
    <w:rsid w:val="00F516E2"/>
    <w:rsid w:val="00F60E23"/>
    <w:rsid w:val="00FC4DF3"/>
    <w:rsid w:val="00FD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EFCED"/>
  <w15:docId w15:val="{F8251314-53F5-42A9-98D9-E0B02B6B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spacing w:before="119"/>
      <w:ind w:left="100"/>
      <w:outlineLvl w:val="2"/>
    </w:pPr>
    <w:rPr>
      <w:i/>
      <w:sz w:val="20"/>
      <w:szCs w:val="20"/>
    </w:rPr>
  </w:style>
  <w:style w:type="paragraph" w:styleId="Heading4">
    <w:name w:val="heading 4"/>
    <w:basedOn w:val="Normal"/>
    <w:uiPriority w:val="9"/>
    <w:unhideWhenUsed/>
    <w:qFormat/>
    <w:pPr>
      <w:spacing w:line="201" w:lineRule="exact"/>
      <w:ind w:left="820" w:hanging="361"/>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7"/>
      <w:ind w:left="100"/>
    </w:pPr>
    <w:rPr>
      <w:b/>
      <w:bCs/>
      <w:sz w:val="40"/>
      <w:szCs w:val="4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Revision">
    <w:name w:val="Revision"/>
    <w:hidden/>
    <w:uiPriority w:val="99"/>
    <w:semiHidden/>
    <w:rsid w:val="000006ED"/>
    <w:pPr>
      <w:widowControl/>
      <w:autoSpaceDE/>
      <w:autoSpaceDN/>
    </w:pPr>
    <w:rPr>
      <w:rFonts w:ascii="Arial" w:eastAsia="Arial" w:hAnsi="Arial" w:cs="Arial"/>
    </w:rPr>
  </w:style>
  <w:style w:type="paragraph" w:customStyle="1" w:styleId="Default">
    <w:name w:val="Default"/>
    <w:rsid w:val="00FD72B8"/>
    <w:pPr>
      <w:widowControl/>
      <w:adjustRightInd w:val="0"/>
    </w:pPr>
    <w:rPr>
      <w:rFonts w:ascii="Montserrat" w:hAnsi="Montserrat" w:cs="Montserrat"/>
      <w:color w:val="000000"/>
      <w:sz w:val="24"/>
      <w:szCs w:val="24"/>
    </w:rPr>
  </w:style>
  <w:style w:type="character" w:styleId="Hyperlink">
    <w:name w:val="Hyperlink"/>
    <w:basedOn w:val="DefaultParagraphFont"/>
    <w:uiPriority w:val="99"/>
    <w:unhideWhenUsed/>
    <w:rsid w:val="000058ED"/>
    <w:rPr>
      <w:color w:val="0000FF" w:themeColor="hyperlink"/>
      <w:u w:val="single"/>
    </w:rPr>
  </w:style>
  <w:style w:type="character" w:styleId="UnresolvedMention">
    <w:name w:val="Unresolved Mention"/>
    <w:basedOn w:val="DefaultParagraphFont"/>
    <w:uiPriority w:val="99"/>
    <w:semiHidden/>
    <w:unhideWhenUsed/>
    <w:rsid w:val="0000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anning.ubc.ca/sustainability/sustainability-action-plans/green-building-action-plan/residential-building-requirements/residential-environmental-assessment-program-reap-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pa.gov/watersense/water-budget-too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F281-7553-4B0C-A279-BD9701E1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Yeung, Christa</dc:creator>
  <cp:lastModifiedBy>Martyn, Penny</cp:lastModifiedBy>
  <cp:revision>2</cp:revision>
  <dcterms:created xsi:type="dcterms:W3CDTF">2022-07-07T20:23:00Z</dcterms:created>
  <dcterms:modified xsi:type="dcterms:W3CDTF">2022-07-07T20:23:00Z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Acrobat PDFMaker 20 for Word</vt:lpwstr>
  </property>
  <property fmtid="{D5CDD505-2E9C-101B-9397-08002B2CF9AE}" pid="4" name="LastSaved">
    <vt:filetime>2022-06-08T00:00:00Z</vt:filetime>
  </property>
</Properties>
</file>